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D891B50" w:rsidR="00D6147A" w:rsidRDefault="00AE44C2" w:rsidP="00AE44C2">
      <w:hyperlink r:id="rId6" w:history="1">
        <w:r w:rsidRPr="00D71E9B">
          <w:rPr>
            <w:rStyle w:val="Collegamentoipertestuale"/>
          </w:rPr>
          <w:t>https://www.borsaitaliana.it/borsa/notizie/radiocor/finanza/dettaglio/borsa-le-banche-saranno-protagoniste-anche-nel-2025-assiom-forex-nRC_14022025_1007_222239725.html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orsa-le-banche-saranno-protagoniste-anche-nel-2025-assiom-forex-nRC_14022025_1007_2222397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2025-02-19T15:41:00Z</dcterms:created>
  <dcterms:modified xsi:type="dcterms:W3CDTF">2025-02-19T15:41:00Z</dcterms:modified>
</cp:coreProperties>
</file>